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Garamond" w:cs="Garamond" w:eastAsia="Garamond" w:hAnsi="Garamond"/>
          <w:b/>
          <w:bCs/>
          <w:sz w:val="22"/>
          <w:szCs w:val="22"/>
        </w:rPr>
        <w:t xml:space="preserve">RÉPUBLIQUE DU CAMEROUN</w:t>
      </w:r>
    </w:p>
    <w:p>
      <w:pPr>
        <w:spacing w:after="60"/>
        <w:jc w:val="center"/>
      </w:pPr>
      <w:r>
        <w:rPr>
          <w:rFonts w:ascii="Garamond" w:cs="Garamond" w:eastAsia="Garamond" w:hAnsi="Garamond"/>
          <w:i/>
          <w:iCs/>
          <w:sz w:val="20"/>
          <w:szCs w:val="20"/>
        </w:rPr>
        <w:t xml:space="preserve">Paix – Travail – Patrie</w:t>
      </w:r>
    </w:p>
    <w:p>
      <w:pPr>
        <w:spacing w:after="200"/>
        <w:jc w:val="center"/>
      </w:pPr>
      <w:r>
        <w:rPr>
          <w:rFonts w:ascii="Garamond" w:cs="Garamond" w:eastAsia="Garamond" w:hAnsi="Garamond"/>
          <w:sz w:val="20"/>
          <w:szCs w:val="20"/>
        </w:rPr>
        <w:t xml:space="preserve">----------------</w:t>
      </w:r>
    </w:p>
    <w:p>
      <w:pPr>
        <w:spacing w:after="60"/>
        <w:jc w:val="center"/>
      </w:pPr>
      <w:r>
        <w:rPr>
          <w:rFonts w:ascii="Garamond" w:cs="Garamond" w:eastAsia="Garamond" w:hAnsi="Garamond"/>
          <w:b/>
          <w:bCs/>
          <w:sz w:val="24"/>
          <w:szCs w:val="24"/>
        </w:rPr>
        <w:t xml:space="preserve">UNIVERSITÉ DE YAOUNDÉ II</w:t>
      </w:r>
    </w:p>
    <w:p>
      <w:pPr>
        <w:spacing w:after="60"/>
        <w:jc w:val="center"/>
      </w:pPr>
      <w:r>
        <w:rPr>
          <w:rFonts w:ascii="Garamond" w:cs="Garamond" w:eastAsia="Garamond" w:hAnsi="Garamond"/>
          <w:b/>
          <w:bCs/>
          <w:sz w:val="24"/>
          <w:szCs w:val="24"/>
        </w:rPr>
        <w:t xml:space="preserve">INSTITUT DES RELATIONS INTERNATIONALES DU CAMEROUN (IRIC)</w:t>
      </w:r>
    </w:p>
    <w:p>
      <w:pPr>
        <w:spacing w:after="300"/>
        <w:jc w:val="center"/>
      </w:pPr>
      <w:r>
        <w:rPr>
          <w:rFonts w:ascii="Garamond" w:cs="Garamond" w:eastAsia="Garamond" w:hAnsi="Garamond"/>
          <w:sz w:val="20"/>
          <w:szCs w:val="20"/>
        </w:rPr>
        <w:t xml:space="preserve">----------------</w:t>
      </w:r>
    </w:p>
    <w:p>
      <w:pPr>
        <w:spacing w:after="100"/>
        <w:jc w:val="center"/>
      </w:pPr>
      <w:r>
        <w:rPr>
          <w:rFonts w:ascii="Garamond" w:cs="Garamond" w:eastAsia="Garamond" w:hAnsi="Garamond"/>
          <w:b/>
          <w:bCs/>
          <w:sz w:val="26"/>
          <w:szCs w:val="26"/>
        </w:rPr>
        <w:t xml:space="preserve">MASTER 2 RECHERCHE</w:t>
      </w:r>
    </w:p>
    <w:p>
      <w:pPr>
        <w:spacing w:after="500"/>
        <w:jc w:val="center"/>
      </w:pPr>
      <w:r>
        <w:rPr>
          <w:rFonts w:ascii="Garamond" w:cs="Garamond" w:eastAsia="Garamond" w:hAnsi="Garamond"/>
          <w:i/>
          <w:iCs/>
          <w:sz w:val="22"/>
          <w:szCs w:val="22"/>
        </w:rPr>
        <w:t xml:space="preserve">Filière : Institutions Culturelles et Éducatives Internationales (ICESCO)</w:t>
      </w:r>
    </w:p>
    <w:p>
      <w:pPr>
        <w:pBdr>
          <w:top w:val="single" w:sz="6"/>
          <w:bottom w:val="single" w:sz="6"/>
        </w:pBdr>
        <w:spacing w:after="200"/>
        <w:jc w:val="center"/>
      </w:pPr>
      <w:r>
        <w:rPr>
          <w:rFonts w:ascii="Garamond" w:cs="Garamond" w:eastAsia="Garamond" w:hAnsi="Garamond"/>
          <w:b/>
          <w:bCs/>
          <w:sz w:val="36"/>
          <w:szCs w:val="36"/>
        </w:rPr>
        <w:t xml:space="preserve">RAPPORT DE GRAND ORAL</w:t>
      </w:r>
    </w:p>
    <w:p>
      <w:pPr>
        <w:spacing w:after="100" w:before="300"/>
        <w:jc w:val="center"/>
      </w:pPr>
      <w:r>
        <w:rPr>
          <w:rFonts w:ascii="Garamond" w:cs="Garamond" w:eastAsia="Garamond" w:hAnsi="Garamond"/>
          <w:i/>
          <w:iCs/>
          <w:sz w:val="22"/>
          <w:szCs w:val="22"/>
        </w:rPr>
        <w:t xml:space="preserve">Présenté en vue de la soutenance du mémoire de Master 2 Recherche</w:t>
      </w:r>
    </w:p>
    <w:p>
      <w:pPr>
        <w:spacing w:after="100" w:before="400"/>
        <w:jc w:val="center"/>
      </w:pPr>
      <w:r>
        <w:rPr>
          <w:rFonts w:ascii="Garamond" w:cs="Garamond" w:eastAsia="Garamond" w:hAnsi="Garamond"/>
          <w:b/>
          <w:bCs/>
          <w:sz w:val="22"/>
          <w:szCs w:val="22"/>
        </w:rPr>
        <w:t xml:space="preserve">Sujet du mémoire :</w:t>
      </w:r>
    </w:p>
    <w:p>
      <w:pPr>
        <w:spacing w:after="500"/>
        <w:jc w:val="center"/>
      </w:pPr>
      <w:r>
        <w:rPr>
          <w:rFonts w:ascii="Garamond" w:cs="Garamond" w:eastAsia="Garamond" w:hAnsi="Garamond"/>
          <w:b/>
          <w:bCs/>
          <w:i/>
          <w:iCs/>
          <w:sz w:val="26"/>
          <w:szCs w:val="26"/>
        </w:rPr>
        <w:t xml:space="preserve">« Rôle de la diversité culturelle dans la consolidation de la paix et de la cohésion sociale en zone frontalière : cas de Kyé-Ossi »</w:t>
      </w:r>
    </w:p>
    <w:p>
      <w:pPr>
        <w:spacing w:after="60" w:before="600"/>
        <w:jc w:val="left"/>
      </w:pPr>
      <w:r>
        <w:rPr>
          <w:rFonts w:ascii="Garamond" w:cs="Garamond" w:eastAsia="Garamond" w:hAnsi="Garamond"/>
          <w:b/>
          <w:bCs/>
          <w:sz w:val="22"/>
          <w:szCs w:val="22"/>
        </w:rPr>
        <w:t xml:space="preserve">Présenté par : AMANDINE</w:t>
      </w:r>
    </w:p>
    <w:p>
      <w:pPr>
        <w:spacing w:after="60"/>
      </w:pPr>
      <w:r>
        <w:rPr>
          <w:rFonts w:ascii="Garamond" w:cs="Garamond" w:eastAsia="Garamond" w:hAnsi="Garamond"/>
          <w:sz w:val="22"/>
          <w:szCs w:val="22"/>
        </w:rPr>
        <w:t xml:space="preserve">Étudiante en Master 2 Recherche, IRIC</w:t>
      </w:r>
    </w:p>
    <w:p>
      <w:pPr>
        <w:spacing w:after="60" w:before="400"/>
      </w:pPr>
      <w:r>
        <w:rPr>
          <w:rFonts w:ascii="Garamond" w:cs="Garamond" w:eastAsia="Garamond" w:hAnsi="Garamond"/>
          <w:b/>
          <w:bCs/>
          <w:sz w:val="22"/>
          <w:szCs w:val="22"/>
        </w:rPr>
        <w:t xml:space="preserve">Sous la direction de :</w:t>
      </w:r>
    </w:p>
    <w:p>
      <w:pPr>
        <w:spacing w:after="60"/>
      </w:pPr>
      <w:r>
        <w:rPr>
          <w:rFonts w:ascii="Garamond" w:cs="Garamond" w:eastAsia="Garamond" w:hAnsi="Garamond"/>
          <w:sz w:val="22"/>
          <w:szCs w:val="22"/>
        </w:rPr>
        <w:t xml:space="preserve">Professeur ZELAO ALAWADI</w:t>
      </w:r>
    </w:p>
    <w:p>
      <w:pPr>
        <w:spacing w:after="60"/>
      </w:pPr>
      <w:r>
        <w:rPr>
          <w:rFonts w:ascii="Garamond" w:cs="Garamond" w:eastAsia="Garamond" w:hAnsi="Garamond"/>
          <w:i/>
          <w:iCs/>
          <w:sz w:val="20"/>
          <w:szCs w:val="20"/>
        </w:rPr>
        <w:t xml:space="preserve">Directeur de mémoire</w:t>
      </w:r>
    </w:p>
    <w:p>
      <w:pPr>
        <w:spacing w:after="60" w:before="200"/>
      </w:pPr>
      <w:r>
        <w:rPr>
          <w:rFonts w:ascii="Garamond" w:cs="Garamond" w:eastAsia="Garamond" w:hAnsi="Garamond"/>
          <w:b/>
          <w:bCs/>
          <w:sz w:val="22"/>
          <w:szCs w:val="22"/>
        </w:rPr>
        <w:t xml:space="preserve">Avec l'appui méthodologique de :</w:t>
      </w:r>
    </w:p>
    <w:p>
      <w:pPr>
        <w:spacing w:after="60"/>
      </w:pPr>
      <w:r>
        <w:rPr>
          <w:rFonts w:ascii="Garamond" w:cs="Garamond" w:eastAsia="Garamond" w:hAnsi="Garamond"/>
          <w:sz w:val="22"/>
          <w:szCs w:val="22"/>
        </w:rPr>
        <w:t xml:space="preserve">Professeur MBIDA ONAMBELE Max Zachée Saintclair</w:t>
      </w:r>
    </w:p>
    <w:p>
      <w:pPr>
        <w:spacing w:before="600"/>
        <w:jc w:val="center"/>
      </w:pPr>
      <w:r>
        <w:rPr>
          <w:rFonts w:ascii="Garamond" w:cs="Garamond" w:eastAsia="Garamond" w:hAnsi="Garamond"/>
          <w:b/>
          <w:bCs/>
          <w:sz w:val="22"/>
          <w:szCs w:val="22"/>
        </w:rPr>
        <w:t xml:space="preserve">Année académique 2025-2026</w:t>
      </w:r>
    </w:p>
    <w:p>
      <w:r>
        <w:br w:type="page"/>
      </w:r>
    </w:p>
    <w:p>
      <w:pPr>
        <w:sectPr>
          <w:headerReference w:type="default" r:id="rId7"/>
          <w:footerReference w:type="default" r:id="rId8"/>
          <w:pgSz w:w="11906" w:h="16838" w:orient="portrait"/>
          <w:pgMar w:top="1440" w:right="1440" w:bottom="1440" w:left="1440" w:header="708" w:footer="708" w:gutter="0"/>
          <w:pgNumType/>
          <w:docGrid w:linePitch="360"/>
        </w:sectPr>
      </w:pPr>
    </w:p>
    <w:p>
      <w:pPr>
        <w:spacing w:after="200"/>
        <w:jc w:val="center"/>
      </w:pPr>
      <w:r>
        <w:rPr>
          <w:rFonts w:ascii="Garamond" w:cs="Garamond" w:eastAsia="Garamond" w:hAnsi="Garamond"/>
          <w:b/>
          <w:bCs/>
          <w:sz w:val="32"/>
          <w:szCs w:val="32"/>
        </w:rPr>
        <w:t xml:space="preserve">SOMMAIRE</w:t>
      </w:r>
    </w:p>
    <w:sdt>
      <w:sdtPr>
        <w:alias w:val="Sommaire"/>
      </w:sdtPr>
      <w:sdtContent>
        <w:p>
          <w:r>
            <w:fldChar w:fldCharType="begin" w:dirty="true"/>
            <w:instrText xml:space="preserve">TOC \h \o "1-3"</w:instrText>
            <w:fldChar w:fldCharType="separate"/>
          </w:r>
        </w:p>
        <w:p>
          <w:r>
            <w:fldChar w:fldCharType="end"/>
          </w:r>
        </w:p>
      </w:sdtContent>
    </w:sdt>
    <w:p>
      <w:r>
        <w:br w:type="page"/>
      </w:r>
    </w:p>
    <w:p>
      <w:pPr>
        <w:pStyle w:val="Heading1"/>
        <w:spacing w:after="200" w:before="400"/>
      </w:pPr>
      <w:r>
        <w:rPr>
          <w:b/>
          <w:bCs/>
        </w:rPr>
        <w:t xml:space="preserve">INTRODUCTION GÉNÉRALE</w:t>
      </w:r>
    </w:p>
    <w:p>
      <w:pPr>
        <w:spacing w:after="160" w:line="360"/>
        <w:ind w:firstLine="0"/>
        <w:jc w:val="both"/>
      </w:pPr>
      <w:r>
        <w:rPr>
          <w:rFonts w:ascii="Garamond" w:cs="Garamond" w:eastAsia="Garamond" w:hAnsi="Garamond"/>
          <w:b w:val="false"/>
          <w:bCs w:val="false"/>
          <w:i w:val="false"/>
          <w:iCs w:val="false"/>
          <w:sz w:val="24"/>
          <w:szCs w:val="24"/>
        </w:rPr>
        <w:t xml:space="preserve">Le présent rapport de grand oral s'inscrit dans le cadre de la soutenance du mémoire de Master 2 Recherche préparé au sein de l'Institut des Relations Internationales du Cameroun (IRIC), filière Institutions Culturelles et Éducatives Internationales (ICESCO). Il vise à restituer, de manière synthétique et argumentée, la démarche scientifique, les principaux résultats et les enseignements tirés d'une recherche portant sur le rôle de la diversité culturelle dans la consolidation de la paix et de la cohésion sociale en zone frontalière, à partir du cas de Kyé-Ossi, point de convergence des frontières camerounaise, gabonaise et équato-guinéenne.</w:t>
      </w:r>
    </w:p>
    <w:p>
      <w:pPr>
        <w:spacing w:after="160" w:line="360"/>
        <w:ind w:firstLine="360"/>
        <w:jc w:val="both"/>
      </w:pPr>
      <w:r>
        <w:rPr>
          <w:rFonts w:ascii="Garamond" w:cs="Garamond" w:eastAsia="Garamond" w:hAnsi="Garamond"/>
          <w:b w:val="false"/>
          <w:bCs w:val="false"/>
          <w:i w:val="false"/>
          <w:iCs w:val="false"/>
          <w:sz w:val="24"/>
          <w:szCs w:val="24"/>
        </w:rPr>
        <w:t xml:space="preserve">Ce document ne constitue pas une reprise linéaire du mémoire. Conformément aux exigences de l'exercice du grand oral, il propose un regard réflexif et distancié sur le travail accompli : il en dégage la cohérence d'ensemble, en évalue les apports et les limites, et ouvre des perspectives tant scientifiques que professionnelles. Il se compose de quatre parties. La première restitue la démarche scientifique ayant présidé à la construction de l'objet de recherche. La deuxième propose une synthèse critique des résultats obtenus au fil des quatre chapitres du mémoire. La troisième discute les apports, les limites et les perspectives de la recherche. La quatrième, enfin, expose le projet professionnel dans lequel s'inscrit ce travail de recherche, orienté vers les organisations internationales et régionales.</w:t>
      </w:r>
    </w:p>
    <w:p>
      <w:r>
        <w:br w:type="page"/>
      </w:r>
    </w:p>
    <w:p>
      <w:pPr>
        <w:pStyle w:val="Heading1"/>
        <w:spacing w:after="200" w:before="400"/>
      </w:pPr>
      <w:r>
        <w:rPr>
          <w:b/>
          <w:bCs/>
        </w:rPr>
        <w:t xml:space="preserve">I. SYNTHÈSE DE LA DÉMARCHE SCIENTIFIQUE</w:t>
      </w:r>
    </w:p>
    <w:p>
      <w:pPr>
        <w:pStyle w:val="Heading2"/>
        <w:spacing w:after="150" w:before="300"/>
      </w:pPr>
      <w:r>
        <w:rPr>
          <w:b/>
          <w:bCs/>
        </w:rPr>
        <w:t xml:space="preserve">1.1. Genèse et intérêt du sujet</w:t>
      </w:r>
    </w:p>
    <w:p>
      <w:pPr>
        <w:spacing w:after="160" w:line="360"/>
        <w:ind w:firstLine="0"/>
        <w:jc w:val="both"/>
      </w:pPr>
      <w:r>
        <w:rPr>
          <w:rFonts w:ascii="Garamond" w:cs="Garamond" w:eastAsia="Garamond" w:hAnsi="Garamond"/>
          <w:b w:val="false"/>
          <w:bCs w:val="false"/>
          <w:i w:val="false"/>
          <w:iCs w:val="false"/>
          <w:sz w:val="24"/>
          <w:szCs w:val="24"/>
        </w:rPr>
        <w:t xml:space="preserve">Le choix de Kyé-Ossi comme terrain d'étude procède d'un double constat. D'une part, la littérature sur les zones frontalières d'Afrique centrale tend à privilégier une lecture sécuritaire ou économique des espaces transfrontaliers, la diversité culturelle y étant le plus souvent traitée comme un facteur de risque ou de conflictualité potentielle. D'autre part, l'observation empirique du fonctionnement quotidien du marché de Kyé-Ossi révèle une réalité plus contrastée : les interactions entre populations camerounaises, gabonaises et équato-guinéennes, loin de se réduire à des rapports de méfiance, produisent des formes de régulation sociale, de médiation et de coexistence qui méritent d'être interrogées pour elles-mêmes.</w:t>
      </w:r>
    </w:p>
    <w:p>
      <w:pPr>
        <w:spacing w:after="160" w:line="360"/>
        <w:ind w:firstLine="360"/>
        <w:jc w:val="both"/>
      </w:pPr>
      <w:r>
        <w:rPr>
          <w:rFonts w:ascii="Garamond" w:cs="Garamond" w:eastAsia="Garamond" w:hAnsi="Garamond"/>
          <w:b w:val="false"/>
          <w:bCs w:val="false"/>
          <w:i w:val="false"/>
          <w:iCs w:val="false"/>
          <w:sz w:val="24"/>
          <w:szCs w:val="24"/>
        </w:rPr>
        <w:t xml:space="preserve">L'originalité de la recherche tient précisément à ce renversement de perspective : envisager la diversité culturelle non comme un problème à gérer, mais comme une ressource mobilisable dans la consolidation de la paix. Cette entrée se justifie par le rôle observé des Bayam-Sellam, ces commerçantes qui, par leur position d'intermédiaires économiques, exercent de fait une fonction de médiation interculturelle largement absente des travaux existants sur la zone.</w:t>
      </w:r>
    </w:p>
    <w:p>
      <w:pPr>
        <w:pStyle w:val="Heading2"/>
        <w:spacing w:after="150" w:before="300"/>
      </w:pPr>
      <w:r>
        <w:rPr>
          <w:b/>
          <w:bCs/>
        </w:rPr>
        <w:t xml:space="preserve">1.2. Problématique et hypothèses</w:t>
      </w:r>
    </w:p>
    <w:p>
      <w:pPr>
        <w:spacing w:after="160" w:line="360"/>
        <w:ind w:firstLine="0"/>
        <w:jc w:val="both"/>
      </w:pPr>
      <w:r>
        <w:rPr>
          <w:rFonts w:ascii="Garamond" w:cs="Garamond" w:eastAsia="Garamond" w:hAnsi="Garamond"/>
          <w:b w:val="false"/>
          <w:bCs w:val="false"/>
          <w:i w:val="false"/>
          <w:iCs w:val="false"/>
          <w:sz w:val="24"/>
          <w:szCs w:val="24"/>
        </w:rPr>
        <w:t xml:space="preserve">La recherche s'est construite autour de la question suivante : dans quelle mesure la diversité culturelle, telle qu'elle se manifeste et s'organise à Kyé-Ossi, contribue-t-elle à la consolidation de la paix et de la cohésion sociale en zone frontalière ? Cette interrogation centrale a été déclinée en hypothèses articulant les dimensions économique, sociale et institutionnelle de la vie frontalière : l'hypothèse d'une fonction structurante des échanges marchands transfrontaliers dans la production quotidienne de la paix ; l'hypothèse d'un rôle spécifique des acteurs informels, au premier rang desquels les Bayam-Sellam, dans la médiation intercommunautaire ; et l'hypothèse d'une articulation, parfois tendue, entre régulations locales et cadres institutionnels sous-régionaux.</w:t>
      </w:r>
    </w:p>
    <w:p>
      <w:pPr>
        <w:spacing w:after="160" w:line="360"/>
        <w:ind w:firstLine="360"/>
        <w:jc w:val="both"/>
      </w:pPr>
      <w:r>
        <w:rPr>
          <w:rFonts w:ascii="Garamond" w:cs="Garamond" w:eastAsia="Garamond" w:hAnsi="Garamond"/>
          <w:b w:val="false"/>
          <w:bCs w:val="false"/>
          <w:i w:val="false"/>
          <w:iCs w:val="false"/>
          <w:sz w:val="24"/>
          <w:szCs w:val="24"/>
        </w:rPr>
        <w:t xml:space="preserve">Une correction méthodologique importante est intervenue en cours de recherche : l'analyse initiale du marché comme espace économiquement homogène a dû être abandonnée au profit d'une lecture attentive à la segmentation ethno-économique des activités commerciales, chaque groupe national tendant à se spécialiser dans certaines filières. Cette segmentation, loin d'invalider l'hypothèse centrale, en a affiné la portée : la cohésion sociale à Kyé-Ossi n'est pas un état acquis, mais une construction quotidienne, qui s'intensifie notamment les jours de marché, moments de densification maximale des interactions transfrontalières.</w:t>
      </w:r>
    </w:p>
    <w:p>
      <w:pPr>
        <w:pStyle w:val="Heading2"/>
        <w:spacing w:after="150" w:before="300"/>
      </w:pPr>
      <w:r>
        <w:rPr>
          <w:b/>
          <w:bCs/>
        </w:rPr>
        <w:t xml:space="preserve">1.3. Cadre théorique</w:t>
      </w:r>
    </w:p>
    <w:p>
      <w:pPr>
        <w:spacing w:after="160" w:line="360"/>
        <w:ind w:firstLine="0"/>
        <w:jc w:val="both"/>
      </w:pPr>
      <w:r>
        <w:rPr>
          <w:rFonts w:ascii="Garamond" w:cs="Garamond" w:eastAsia="Garamond" w:hAnsi="Garamond"/>
          <w:b w:val="false"/>
          <w:bCs w:val="false"/>
          <w:i w:val="false"/>
          <w:iCs w:val="false"/>
          <w:sz w:val="24"/>
          <w:szCs w:val="24"/>
        </w:rPr>
        <w:t xml:space="preserve">Le cadre théorique mobilisé repose sur une articulation entre deux corpus complémentaires. Le constructivisme social d'Alexander Wendt fournit le socle permettant de penser les identités et les intérêts des acteurs frontaliers non comme des données figées, mais comme le produit d'interactions sociales répétées : la paix, dans cette perspective, n'est pas seulement l'absence de conflit mais une structure intersubjective construite par la pratique. La théorie des configurations de Norbert Elias complète cette approche en offrant les outils pour analyser les interdépendances concrètes entre groupes camerounais, gabonais et équato-guinéens comme un réseau de relations dont l'équilibre se négocie en permanence, sans acteur central ni logique unilatérale.</w:t>
      </w:r>
    </w:p>
    <w:p>
      <w:pPr>
        <w:spacing w:after="160" w:line="360"/>
        <w:ind w:firstLine="360"/>
        <w:jc w:val="both"/>
      </w:pPr>
      <w:r>
        <w:rPr>
          <w:rFonts w:ascii="Garamond" w:cs="Garamond" w:eastAsia="Garamond" w:hAnsi="Garamond"/>
          <w:b w:val="false"/>
          <w:bCs w:val="false"/>
          <w:i w:val="false"/>
          <w:iCs w:val="false"/>
          <w:sz w:val="24"/>
          <w:szCs w:val="24"/>
        </w:rPr>
        <w:t xml:space="preserve">Ce socle théorique a été enrichi par des apports conceptuels complémentaires : la notion de capital social de Pierre Bourdieu pour rendre compte des ressources relationnelles mobilisées par les commerçantes ; les travaux de Keohane et Nye sur l'interdépendance complexe pour situer Kyé-Ossi dans le jeu institutionnel sous-régional CEMAC ; et le cadre de la sécurité humaine du PNUD pour articuler la dimension sécuritaire aux dimensions économique et communautaire de la paix locale.</w:t>
      </w:r>
    </w:p>
    <w:p>
      <w:pPr>
        <w:pStyle w:val="Heading2"/>
        <w:spacing w:after="150" w:before="300"/>
      </w:pPr>
      <w:r>
        <w:rPr>
          <w:b/>
          <w:bCs/>
        </w:rPr>
        <w:t xml:space="preserve">1.4. Méthodologie et terrain</w:t>
      </w:r>
    </w:p>
    <w:p>
      <w:pPr>
        <w:spacing w:after="160" w:line="360"/>
        <w:ind w:firstLine="0"/>
        <w:jc w:val="both"/>
      </w:pPr>
      <w:r>
        <w:rPr>
          <w:rFonts w:ascii="Garamond" w:cs="Garamond" w:eastAsia="Garamond" w:hAnsi="Garamond"/>
          <w:b w:val="false"/>
          <w:bCs w:val="false"/>
          <w:i w:val="false"/>
          <w:iCs w:val="false"/>
          <w:sz w:val="24"/>
          <w:szCs w:val="24"/>
        </w:rPr>
        <w:t xml:space="preserve">La recherche repose sur une enquête de terrain conduite à Kyé-Ossi, combinant observation directe des postes-frontières et du marché transfrontalier, documentation des pratiques commerciales, et administration d'un questionnaire structuré en face-à-face, en français, auprès des commerçants et des autorités locales et administratives. Ce choix méthodologique, celui de l'enquête qualitative de proximité, s'est imposé par la nécessité de saisir des pratiques sociales peu documentées dans les sources écrites disponibles.</w:t>
      </w:r>
    </w:p>
    <w:p>
      <w:pPr>
        <w:spacing w:after="160" w:line="360"/>
        <w:ind w:firstLine="360"/>
        <w:jc w:val="both"/>
      </w:pPr>
      <w:r>
        <w:rPr>
          <w:rFonts w:ascii="Garamond" w:cs="Garamond" w:eastAsia="Garamond" w:hAnsi="Garamond"/>
          <w:b w:val="false"/>
          <w:bCs w:val="false"/>
          <w:i w:val="false"/>
          <w:iCs w:val="false"/>
          <w:sz w:val="24"/>
          <w:szCs w:val="24"/>
        </w:rPr>
        <w:t xml:space="preserve">Le travail de terrain a permis des observations qui ont sensiblement fait évoluer l'analyse initiale : l'existence d'une asymétrie dans les politiques de circulation frontalière entre les trois pays concernés, la mise en évidence de rythmes commerciaux marqués par les jours de marché, et l'identification de dynamiques de fixation des prix révélatrices des rapports de force économiques entre groupes nationaux. Ces données empiriques ont ensuite été mises en regard des travaux existants sur les zones frontalières camerounaises comparables — Kousseri, Brické et Ngueli — ainsi que de la thèse doctorale d'Abêt Mongbet sur les mobilités et l'intégration sous-régionale en zone CEMAC (Université de Poitiers, 2019), retenue comme référence secondaire centrale pour situer les résultats de Kyé-Ossi dans une perspective comparative.</w:t>
      </w:r>
    </w:p>
    <w:p>
      <w:r>
        <w:br w:type="page"/>
      </w:r>
    </w:p>
    <w:p>
      <w:pPr>
        <w:pStyle w:val="Heading1"/>
        <w:spacing w:after="200" w:before="400"/>
      </w:pPr>
      <w:r>
        <w:rPr>
          <w:b/>
          <w:bCs/>
        </w:rPr>
        <w:t xml:space="preserve">II. SYNTHÈSE CRITIQUE DES RÉSULTATS DE LA RECHERCHE</w:t>
      </w:r>
    </w:p>
    <w:p>
      <w:pPr>
        <w:spacing w:after="160" w:line="360"/>
        <w:ind w:firstLine="0"/>
        <w:jc w:val="both"/>
      </w:pPr>
      <w:r>
        <w:rPr>
          <w:rFonts w:ascii="Garamond" w:cs="Garamond" w:eastAsia="Garamond" w:hAnsi="Garamond"/>
          <w:b w:val="false"/>
          <w:bCs w:val="false"/>
          <w:i w:val="false"/>
          <w:iCs w:val="false"/>
          <w:sz w:val="24"/>
          <w:szCs w:val="24"/>
        </w:rPr>
        <w:t xml:space="preserve">Cette partie restitue, chapitre après chapitre, les principaux résultats du mémoire, en dégageant leur portée analytique plutôt qu'en reprenant leur développement intégral.</w:t>
      </w:r>
    </w:p>
    <w:p>
      <w:pPr>
        <w:pStyle w:val="Heading2"/>
        <w:spacing w:after="150" w:before="300"/>
      </w:pPr>
      <w:r>
        <w:rPr>
          <w:b/>
          <w:bCs/>
        </w:rPr>
        <w:t xml:space="preserve">2.1. Chapitre I – Cadrage conceptuel et contextuel</w:t>
      </w:r>
    </w:p>
    <w:p>
      <w:pPr>
        <w:spacing w:after="160" w:line="360"/>
        <w:ind w:firstLine="360"/>
        <w:jc w:val="both"/>
      </w:pPr>
      <w:r>
        <w:rPr>
          <w:rFonts w:ascii="Garamond" w:cs="Garamond" w:eastAsia="Garamond" w:hAnsi="Garamond"/>
          <w:b w:val="false"/>
          <w:bCs w:val="false"/>
          <w:i w:val="false"/>
          <w:iCs w:val="false"/>
          <w:sz w:val="24"/>
          <w:szCs w:val="24"/>
        </w:rPr>
        <w:t xml:space="preserve">Le premier chapitre a posé les bases conceptuelles de la recherche en clarifiant les notions de diversité culturelle, de cohésion sociale et de consolidation de la paix, et en les articulant au contexte spécifique des zones frontalières d'Afrique centrale. Il a également permis de situer Kyé-Ossi dans son environnement géopolitique et institutionnel, à la croisée des espaces camerounais, gabonais et équato-guinéen, et sous l'influence du cadre normatif de la CEMAC en matière de libre circulation.</w:t>
      </w:r>
    </w:p>
    <w:p>
      <w:pPr>
        <w:pStyle w:val="Heading2"/>
        <w:spacing w:after="150" w:before="300"/>
      </w:pPr>
      <w:r>
        <w:rPr>
          <w:b/>
          <w:bCs/>
        </w:rPr>
        <w:t xml:space="preserve">2.2. Chapitre II – Cadre théorique et méthodologique</w:t>
      </w:r>
    </w:p>
    <w:p>
      <w:pPr>
        <w:spacing w:after="160" w:line="360"/>
        <w:ind w:firstLine="360"/>
        <w:jc w:val="both"/>
      </w:pPr>
      <w:r>
        <w:rPr>
          <w:rFonts w:ascii="Garamond" w:cs="Garamond" w:eastAsia="Garamond" w:hAnsi="Garamond"/>
          <w:b w:val="false"/>
          <w:bCs w:val="false"/>
          <w:i w:val="false"/>
          <w:iCs w:val="false"/>
          <w:sz w:val="24"/>
          <w:szCs w:val="24"/>
        </w:rPr>
        <w:t xml:space="preserve">Le deuxième chapitre a exposé l'architecture théorique bipartite retenue — constructivisme de Wendt et théorie des configurations d'Elias — et justifié le choix d'une méthodologie qualitative de terrain. Il a permis de formuler les hypothèses de recherche et de construire les outils de collecte de données mobilisés lors de l'enquête à Kyé-Ossi.</w:t>
      </w:r>
    </w:p>
    <w:p>
      <w:pPr>
        <w:pStyle w:val="Heading2"/>
        <w:spacing w:after="150" w:before="300"/>
      </w:pPr>
      <w:r>
        <w:rPr>
          <w:b/>
          <w:bCs/>
        </w:rPr>
        <w:t xml:space="preserve">2.3. Chapitre III – La diversité culturelle à l'épreuve du terrain frontalier</w:t>
      </w:r>
    </w:p>
    <w:p>
      <w:pPr>
        <w:spacing w:after="160" w:line="360"/>
        <w:ind w:firstLine="360"/>
        <w:jc w:val="both"/>
      </w:pPr>
      <w:r>
        <w:rPr>
          <w:rFonts w:ascii="Garamond" w:cs="Garamond" w:eastAsia="Garamond" w:hAnsi="Garamond"/>
          <w:b w:val="false"/>
          <w:bCs w:val="false"/>
          <w:i w:val="false"/>
          <w:iCs w:val="false"/>
          <w:sz w:val="24"/>
          <w:szCs w:val="24"/>
        </w:rPr>
        <w:t xml:space="preserve">Le troisième chapitre, appuyé sur les données empiriques collectées, a mis en évidence le rôle central des Bayam-Sellam comme médiatrices intercommunautaires informelles, insérées dans des réseaux d'échange qui transcendent les appartenances nationales. Il a également documenté la segmentation ethno-économique du marché transfrontalier, l'asymétrie des régimes de circulation entre les trois pays, et l'intensification cyclique des interactions sociales lors des jours de marché — autant d'éléments qui nuancent une vision homogène ou statique de la cohésion sociale locale.</w:t>
      </w:r>
    </w:p>
    <w:p>
      <w:pPr>
        <w:pStyle w:val="Heading2"/>
        <w:spacing w:after="150" w:before="300"/>
      </w:pPr>
      <w:r>
        <w:rPr>
          <w:b/>
          <w:bCs/>
        </w:rPr>
        <w:t xml:space="preserve">2.4. Chapitre IV – La paix comme construction quotidienne</w:t>
      </w:r>
    </w:p>
    <w:p>
      <w:pPr>
        <w:spacing w:after="160" w:line="360"/>
        <w:ind w:firstLine="360"/>
        <w:jc w:val="both"/>
      </w:pPr>
      <w:r>
        <w:rPr>
          <w:rFonts w:ascii="Garamond" w:cs="Garamond" w:eastAsia="Garamond" w:hAnsi="Garamond"/>
          <w:b w:val="false"/>
          <w:bCs w:val="false"/>
          <w:i w:val="false"/>
          <w:iCs w:val="false"/>
          <w:sz w:val="24"/>
          <w:szCs w:val="24"/>
        </w:rPr>
        <w:t xml:space="preserve">Le quatrième chapitre a défendu la thèse centrale du mémoire : la paix à Kyé-Ossi n'est pas un donné stable, mais un processus réactivé quotidiennement par les pratiques d'échange, de négociation et de coexistence entre populations diverses. Cette lecture processuelle de la paix, mise en perspective avec les cas de Kousseri, Brické et Ngueli, a permis de dégager des enseignements transposables à d'autres zones frontalières camerounaises, tout en soulignant les limites d'une régulation reposant essentiellement sur des mécanismes informels, en l'absence d'un ancrage institutionnel suffisant.</w:t>
      </w:r>
    </w:p>
    <w:p>
      <w:r>
        <w:br w:type="page"/>
      </w:r>
    </w:p>
    <w:p>
      <w:pPr>
        <w:pStyle w:val="Heading1"/>
        <w:spacing w:after="200" w:before="400"/>
      </w:pPr>
      <w:r>
        <w:rPr>
          <w:b/>
          <w:bCs/>
        </w:rPr>
        <w:t xml:space="preserve">III. APPORTS, LIMITES ET PERSPECTIVES DE LA RECHERCHE</w:t>
      </w:r>
    </w:p>
    <w:p>
      <w:pPr>
        <w:pStyle w:val="Heading2"/>
        <w:spacing w:after="150" w:before="300"/>
      </w:pPr>
      <w:r>
        <w:rPr>
          <w:b/>
          <w:bCs/>
        </w:rPr>
        <w:t xml:space="preserve">3.1. Apports scientifiques et pratiques</w:t>
      </w:r>
    </w:p>
    <w:p>
      <w:pPr>
        <w:spacing w:after="160" w:line="360"/>
        <w:ind w:firstLine="0"/>
        <w:jc w:val="both"/>
      </w:pPr>
      <w:r>
        <w:rPr>
          <w:rFonts w:ascii="Garamond" w:cs="Garamond" w:eastAsia="Garamond" w:hAnsi="Garamond"/>
          <w:b w:val="false"/>
          <w:bCs w:val="false"/>
          <w:i w:val="false"/>
          <w:iCs w:val="false"/>
          <w:sz w:val="24"/>
          <w:szCs w:val="24"/>
        </w:rPr>
        <w:t xml:space="preserve">Sur le plan scientifique, la recherche contribue à un renouvellement du regard porté sur les zones frontalières d'Afrique centrale, en substituant à une lecture sécuritaire dominante une lecture attentive aux ressources que représente la diversité culturelle pour la consolidation de la paix. Elle documente empiriquement un acteur peu étudié — les Bayam-Sellam — dont le rôle de médiation intercommunautaire mériterait d'être davantage pris en compte dans les politiques publiques de gestion des frontières.</w:t>
      </w:r>
    </w:p>
    <w:p>
      <w:pPr>
        <w:spacing w:after="160" w:line="360"/>
        <w:ind w:firstLine="360"/>
        <w:jc w:val="both"/>
      </w:pPr>
      <w:r>
        <w:rPr>
          <w:rFonts w:ascii="Garamond" w:cs="Garamond" w:eastAsia="Garamond" w:hAnsi="Garamond"/>
          <w:b w:val="false"/>
          <w:bCs w:val="false"/>
          <w:i w:val="false"/>
          <w:iCs w:val="false"/>
          <w:sz w:val="24"/>
          <w:szCs w:val="24"/>
        </w:rPr>
        <w:t xml:space="preserve">Sur le plan pratique, les résultats offrent des éléments utiles aux acteurs institutionnels engagés dans la gouvernance des espaces frontaliers sous-régionaux, notamment dans la perspective d'une meilleure articulation entre régulations informelles locales et cadres normatifs de la CEMAC en matière de libre circulation des personnes et des biens.</w:t>
      </w:r>
    </w:p>
    <w:p>
      <w:pPr>
        <w:pStyle w:val="Heading2"/>
        <w:spacing w:after="150" w:before="300"/>
      </w:pPr>
      <w:r>
        <w:rPr>
          <w:b/>
          <w:bCs/>
        </w:rPr>
        <w:t xml:space="preserve">3.2. Limites de l'étude</w:t>
      </w:r>
    </w:p>
    <w:p>
      <w:pPr>
        <w:pStyle w:val="ListParagraph"/>
        <w:numPr>
          <w:ilvl w:val="0"/>
          <w:numId w:val="2"/>
        </w:numPr>
        <w:spacing w:after="100" w:line="300"/>
        <w:jc w:val="both"/>
      </w:pPr>
      <w:r>
        <w:rPr>
          <w:rFonts w:ascii="Garamond" w:cs="Garamond" w:eastAsia="Garamond" w:hAnsi="Garamond"/>
          <w:sz w:val="24"/>
          <w:szCs w:val="24"/>
        </w:rPr>
        <w:t xml:space="preserve">Une couverture géographique circonscrite à Kyé-Ossi, qui appelle une confirmation des résultats par des études comparatives systématiques sur d'autres points frontaliers ;</w:t>
      </w:r>
    </w:p>
    <w:p>
      <w:pPr>
        <w:pStyle w:val="ListParagraph"/>
        <w:numPr>
          <w:ilvl w:val="0"/>
          <w:numId w:val="2"/>
        </w:numPr>
        <w:spacing w:after="100" w:line="300"/>
        <w:jc w:val="both"/>
      </w:pPr>
      <w:r>
        <w:rPr>
          <w:rFonts w:ascii="Garamond" w:cs="Garamond" w:eastAsia="Garamond" w:hAnsi="Garamond"/>
          <w:sz w:val="24"/>
          <w:szCs w:val="24"/>
        </w:rPr>
        <w:t xml:space="preserve">Une temporalité d'enquête limitée, qui ne permet pas de rendre pleinement compte des variations saisonnières et conjoncturelles des dynamiques observées ;</w:t>
      </w:r>
    </w:p>
    <w:p>
      <w:pPr>
        <w:pStyle w:val="ListParagraph"/>
        <w:numPr>
          <w:ilvl w:val="0"/>
          <w:numId w:val="2"/>
        </w:numPr>
        <w:spacing w:after="100" w:line="300"/>
        <w:jc w:val="both"/>
      </w:pPr>
      <w:r>
        <w:rPr>
          <w:rFonts w:ascii="Garamond" w:cs="Garamond" w:eastAsia="Garamond" w:hAnsi="Garamond"/>
          <w:sz w:val="24"/>
          <w:szCs w:val="24"/>
        </w:rPr>
        <w:t xml:space="preserve">Une dépendance aux données déclaratives issues des entretiens et questionnaires, qui appelle un recoupement plus poussé avec des données administratives et statistiques encore peu disponibles sur cette zone.</w:t>
      </w:r>
    </w:p>
    <w:p>
      <w:pPr>
        <w:pStyle w:val="Heading2"/>
        <w:spacing w:after="150" w:before="300"/>
      </w:pPr>
      <w:r>
        <w:rPr>
          <w:b/>
          <w:bCs/>
        </w:rPr>
        <w:t xml:space="preserve">3.3. Perspectives de recherche</w:t>
      </w:r>
    </w:p>
    <w:p>
      <w:pPr>
        <w:spacing w:after="160" w:line="360"/>
        <w:ind w:firstLine="0"/>
        <w:jc w:val="both"/>
      </w:pPr>
      <w:r>
        <w:rPr>
          <w:rFonts w:ascii="Garamond" w:cs="Garamond" w:eastAsia="Garamond" w:hAnsi="Garamond"/>
          <w:b w:val="false"/>
          <w:bCs w:val="false"/>
          <w:i w:val="false"/>
          <w:iCs w:val="false"/>
          <w:sz w:val="24"/>
          <w:szCs w:val="24"/>
        </w:rPr>
        <w:t xml:space="preserve">Ces limites ouvrent plusieurs pistes de prolongement : une étude longitudinale permettant de suivre l'évolution des pratiques de médiation intercommunautaire sur plusieurs cycles commerciaux ; une extension comparative systématique aux autres points frontaliers camerounais et sous-régionaux ; et une analyse plus approfondie de l'articulation entre les mécanismes informels de régulation sociale et les instruments juridiques et institutionnels de la CEMAC, de l'Union africaine et des organisations à mandat culturel telles que l'ICESCO.</w:t>
      </w:r>
    </w:p>
    <w:p>
      <w:r>
        <w:br w:type="page"/>
      </w:r>
    </w:p>
    <w:p>
      <w:pPr>
        <w:pStyle w:val="Heading1"/>
        <w:spacing w:after="200" w:before="400"/>
      </w:pPr>
      <w:r>
        <w:rPr>
          <w:b/>
          <w:bCs/>
        </w:rPr>
        <w:t xml:space="preserve">IV. PROJET PROFESSIONNEL</w:t>
      </w:r>
    </w:p>
    <w:p>
      <w:pPr>
        <w:pStyle w:val="Heading2"/>
        <w:spacing w:after="150" w:before="300"/>
      </w:pPr>
      <w:r>
        <w:rPr>
          <w:b/>
          <w:bCs/>
        </w:rPr>
        <w:t xml:space="preserve">4.1. Bilan de parcours et de compétences</w:t>
      </w:r>
    </w:p>
    <w:p>
      <w:pPr>
        <w:spacing w:after="160" w:line="360"/>
        <w:ind w:firstLine="0"/>
        <w:jc w:val="both"/>
      </w:pPr>
      <w:r>
        <w:rPr>
          <w:rFonts w:ascii="Garamond" w:cs="Garamond" w:eastAsia="Garamond" w:hAnsi="Garamond"/>
          <w:b w:val="false"/>
          <w:bCs w:val="false"/>
          <w:i w:val="false"/>
          <w:iCs w:val="false"/>
          <w:sz w:val="24"/>
          <w:szCs w:val="24"/>
        </w:rPr>
        <w:t xml:space="preserve">La formation suivie à l'IRIC, complétée par l'expérience de recherche de terrain conduite à Kyé-Ossi, a permis de construire un profil articulant maîtrise théorique des relations internationales, compétences méthodologiques d'enquête qualitative et connaissance fine des dynamiques transfrontalières en Afrique centrale. Cette double compétence — analytique et empirique — constitue un socle pertinent pour une insertion professionnelle au sein des organisations internationales et régionales, dont l'action sur les questions de paix, de sécurité et de coopération culturelle exige une capacité à articuler cadres normatifs globaux et réalités de terrain.</w:t>
      </w:r>
    </w:p>
    <w:p>
      <w:pPr>
        <w:spacing w:after="160" w:line="360"/>
        <w:ind w:firstLine="360"/>
        <w:jc w:val="both"/>
      </w:pPr>
      <w:r>
        <w:rPr>
          <w:rFonts w:ascii="Garamond" w:cs="Garamond" w:eastAsia="Garamond" w:hAnsi="Garamond"/>
          <w:b w:val="false"/>
          <w:bCs w:val="false"/>
          <w:i w:val="false"/>
          <w:iCs w:val="false"/>
          <w:sz w:val="24"/>
          <w:szCs w:val="24"/>
        </w:rPr>
        <w:t xml:space="preserve">Le travail de mémoire a en particulier développé une expertise sur les enjeux de gouvernance frontalière en zone CEMAC, sur les mécanismes de médiation et de consolidation de la paix par le bas, ainsi que sur les problématiques de diversité culturelle et de cohésion sociale qui relèvent directement du mandat de l'ICESCO en matière culturelle et éducative.</w:t>
      </w:r>
    </w:p>
    <w:p>
      <w:pPr>
        <w:pStyle w:val="Heading2"/>
        <w:spacing w:after="150" w:before="300"/>
      </w:pPr>
      <w:r>
        <w:rPr>
          <w:b/>
          <w:bCs/>
        </w:rPr>
        <w:t xml:space="preserve">4.2. Orientation professionnelle</w:t>
      </w:r>
    </w:p>
    <w:p>
      <w:pPr>
        <w:spacing w:after="160" w:line="360"/>
        <w:ind w:firstLine="0"/>
        <w:jc w:val="both"/>
      </w:pPr>
      <w:r>
        <w:rPr>
          <w:rFonts w:ascii="Garamond" w:cs="Garamond" w:eastAsia="Garamond" w:hAnsi="Garamond"/>
          <w:b w:val="false"/>
          <w:bCs w:val="false"/>
          <w:i w:val="false"/>
          <w:iCs w:val="false"/>
          <w:sz w:val="24"/>
          <w:szCs w:val="24"/>
        </w:rPr>
        <w:t xml:space="preserve">Le projet professionnel s'oriente vers une carrière au sein des organisations internationales et régionales, avec un intérêt particulier pour les institutions actives en Afrique centrale : la Communauté Économique et Monétaire de l'Afrique Centrale (CEMAC), dont les enjeux de libre circulation et d'intégration sous-régionale ont été au cœur de la recherche ; l'Union africaine (UA), notamment ses programmes relatifs à la gouvernance des frontières et à l'Architecture africaine de paix et de sécurité ; les entités du système des Nations Unies engagées dans la consolidation de la paix et la médiation communautaire ; et l'Organisation islamique pour l'éducation, les sciences et la culture (ICESCO), dont le mandat en matière de diversité culturelle et de dialogue interculturel prolonge directement la thématique du mémoire.</w:t>
      </w:r>
    </w:p>
    <w:p>
      <w:pPr>
        <w:spacing w:after="160" w:line="360"/>
        <w:ind w:firstLine="360"/>
        <w:jc w:val="both"/>
      </w:pPr>
      <w:r>
        <w:rPr>
          <w:rFonts w:ascii="Garamond" w:cs="Garamond" w:eastAsia="Garamond" w:hAnsi="Garamond"/>
          <w:b w:val="false"/>
          <w:bCs w:val="false"/>
          <w:i w:val="false"/>
          <w:iCs w:val="false"/>
          <w:sz w:val="24"/>
          <w:szCs w:val="24"/>
        </w:rPr>
        <w:t xml:space="preserve">À court terme, cette orientation se traduit par la recherche de stages ou de programmes de jeunes experts au sein de ces institutions, permettant une première expérience professionnelle sur des dossiers de gouvernance frontalière, de médiation ou de coopération culturelle. À moyen terme, l'objectif est d'intégrer un poste de chargée de programme ou d'analyste sur les questions de paix et de cohésion sociale en Afrique centrale, au sein d'une organisation régionale ou d'une agence spécialisée.</w:t>
      </w:r>
    </w:p>
    <w:p>
      <w:pPr>
        <w:pStyle w:val="Heading2"/>
        <w:spacing w:after="150" w:before="300"/>
      </w:pPr>
      <w:r>
        <w:rPr>
          <w:b/>
          <w:bCs/>
        </w:rPr>
        <w:t xml:space="preserve">4.3. Stratégie de capitalisation</w:t>
      </w:r>
    </w:p>
    <w:p>
      <w:pPr>
        <w:spacing w:after="160" w:line="360"/>
        <w:ind w:firstLine="0"/>
        <w:jc w:val="both"/>
      </w:pPr>
      <w:r>
        <w:rPr>
          <w:rFonts w:ascii="Garamond" w:cs="Garamond" w:eastAsia="Garamond" w:hAnsi="Garamond"/>
          <w:b w:val="false"/>
          <w:bCs w:val="false"/>
          <w:i w:val="false"/>
          <w:iCs w:val="false"/>
          <w:sz w:val="24"/>
          <w:szCs w:val="24"/>
        </w:rPr>
        <w:t xml:space="preserve">Face à un marché de l'emploi camerounais peu formalisé et fortement concurrentiel, le projet professionnel repose sur une stratégie de capitalisation articulant quatre canaux complémentaires, mobilisés simultanément plutôt que hiérarchisés, afin de sécuriser l'insertion professionnelle à court terme tout en maintenant le cap sur l'objectif de moyen terme.</w:t>
      </w:r>
    </w:p>
    <w:p>
      <w:pPr>
        <w:pStyle w:val="Heading3"/>
        <w:spacing w:after="100" w:before="200"/>
      </w:pPr>
      <w:r>
        <w:rPr>
          <w:b/>
          <w:bCs/>
          <w:i/>
          <w:iCs/>
        </w:rPr>
        <w:t xml:space="preserve">4.3.1. Le réseau institutionnel</w:t>
      </w:r>
    </w:p>
    <w:p>
      <w:pPr>
        <w:spacing w:after="160" w:line="360"/>
        <w:ind w:firstLine="360"/>
        <w:jc w:val="both"/>
      </w:pPr>
      <w:r>
        <w:rPr>
          <w:rFonts w:ascii="Garamond" w:cs="Garamond" w:eastAsia="Garamond" w:hAnsi="Garamond"/>
          <w:b w:val="false"/>
          <w:bCs w:val="false"/>
          <w:i w:val="false"/>
          <w:iCs w:val="false"/>
          <w:sz w:val="24"/>
          <w:szCs w:val="24"/>
        </w:rPr>
        <w:t xml:space="preserve">Un contact familial exerçant au sein du Haut-Commissariat des Nations Unies pour les Réfugiés (UNHCR) constitue une ressource d'information précieuse, notamment sur le calendrier réel des recrutements (programmes Junior Professional Officer, stages, plateformes UNjobs et Inspira). Ce canal est mobilisé comme un accélérateur d'information et de compréhension des cycles de recrutement, et non comme une voie d'accès automatique, afin de préserver la crédibilité et l'autonomie de la candidature.</w:t>
      </w:r>
    </w:p>
    <w:p>
      <w:pPr>
        <w:pStyle w:val="Heading3"/>
        <w:spacing w:after="100" w:before="200"/>
      </w:pPr>
      <w:r>
        <w:rPr>
          <w:b/>
          <w:bCs/>
          <w:i/>
          <w:iCs/>
        </w:rPr>
        <w:t xml:space="preserve">4.3.2. La veille et la candidature autonome</w:t>
      </w:r>
    </w:p>
    <w:p>
      <w:pPr>
        <w:spacing w:after="160" w:line="360"/>
        <w:ind w:firstLine="360"/>
        <w:jc w:val="both"/>
      </w:pPr>
      <w:r>
        <w:rPr>
          <w:rFonts w:ascii="Garamond" w:cs="Garamond" w:eastAsia="Garamond" w:hAnsi="Garamond"/>
          <w:b w:val="false"/>
          <w:bCs w:val="false"/>
          <w:i w:val="false"/>
          <w:iCs w:val="false"/>
          <w:sz w:val="24"/>
          <w:szCs w:val="24"/>
        </w:rPr>
        <w:t xml:space="preserve">Une veille systématique est maintenue sur les structures parapubliques et les organisations d'intégration régionale (CEMAC, Union africaine, ICESCO, agences onusiennes et PNUD présentes à Yaoundé), avec des candidatures ciblées et adaptées à la mission exacte de chaque structure, en s'appuyant sur l'expertise construite à travers le mémoire sur la gouvernance frontalière et la cohésion sociale.</w:t>
      </w:r>
    </w:p>
    <w:p>
      <w:pPr>
        <w:pStyle w:val="Heading3"/>
        <w:spacing w:after="100" w:before="200"/>
      </w:pPr>
      <w:r>
        <w:rPr>
          <w:b/>
          <w:bCs/>
          <w:i/>
          <w:iCs/>
        </w:rPr>
        <w:t xml:space="preserve">4.3.3. Les appels à candidature des ministères et des micro-ONG</w:t>
      </w:r>
    </w:p>
    <w:p>
      <w:pPr>
        <w:spacing w:after="160" w:line="360"/>
        <w:ind w:firstLine="360"/>
        <w:jc w:val="both"/>
      </w:pPr>
      <w:r>
        <w:rPr>
          <w:rFonts w:ascii="Garamond" w:cs="Garamond" w:eastAsia="Garamond" w:hAnsi="Garamond"/>
          <w:b w:val="false"/>
          <w:bCs w:val="false"/>
          <w:i w:val="false"/>
          <w:iCs w:val="false"/>
          <w:sz w:val="24"/>
          <w:szCs w:val="24"/>
        </w:rPr>
        <w:t xml:space="preserve">À la sortie de l'IRIC, les ministères et micro-ONG publient régulièrement des appels à candidature accessibles et moins concurrentiels que les grandes organisations internationales. Ce canal constitue un premier palier d'expérience professionnelle certifiée, permettant d'éviter toute discontinuité dans le parcours en attendant qu'une opportunité internationale se concrétise, tout en consolidant une expérience directement valorisable dans les dossiers ultérieurs.</w:t>
      </w:r>
    </w:p>
    <w:p>
      <w:pPr>
        <w:pStyle w:val="Heading3"/>
        <w:spacing w:after="100" w:before="200"/>
      </w:pPr>
      <w:r>
        <w:rPr>
          <w:b/>
          <w:bCs/>
          <w:i/>
          <w:iCs/>
        </w:rPr>
        <w:t xml:space="preserve">4.3.4. Les missions de consultation auprès de cabinets d'expertise</w:t>
      </w:r>
    </w:p>
    <w:p>
      <w:pPr>
        <w:spacing w:after="160" w:line="360"/>
        <w:ind w:firstLine="360"/>
        <w:jc w:val="both"/>
      </w:pPr>
      <w:r>
        <w:rPr>
          <w:rFonts w:ascii="Garamond" w:cs="Garamond" w:eastAsia="Garamond" w:hAnsi="Garamond"/>
          <w:b w:val="false"/>
          <w:bCs w:val="false"/>
          <w:i w:val="false"/>
          <w:iCs w:val="false"/>
          <w:sz w:val="24"/>
          <w:szCs w:val="24"/>
        </w:rPr>
        <w:t xml:space="preserve">En parallèle, des missions ponctuelles de consultation auprès de cabinets d'expertise sont envisagées, sur la base de deux types de services directement adossés aux compétences développées durant le Master : l'analyse de situations socio-politiques et institutionnelles, notamment en contexte frontalier ou sous-régional, et l'appui à la rédaction de documents techniques (notes d'analyse, rapports, dossiers de projet). Ce canal permet de valoriser l'expertise construite sans attendre un poste permanent, et constitue une passerelle supplémentaire vers les organisations régionales et internationales visées.</w:t>
      </w:r>
    </w:p>
    <w:p>
      <w:pPr>
        <w:pStyle w:val="Heading2"/>
        <w:spacing w:after="150" w:before="300"/>
      </w:pPr>
      <w:r>
        <w:rPr>
          <w:b/>
          <w:bCs/>
        </w:rPr>
        <w:t xml:space="preserve">4.4. Plan d'action</w:t>
      </w:r>
    </w:p>
    <w:p>
      <w:pPr>
        <w:pStyle w:val="ListParagraph"/>
        <w:numPr>
          <w:ilvl w:val="0"/>
          <w:numId w:val="2"/>
        </w:numPr>
        <w:spacing w:after="100" w:line="300"/>
        <w:jc w:val="both"/>
      </w:pPr>
      <w:r>
        <w:rPr>
          <w:rFonts w:ascii="Garamond" w:cs="Garamond" w:eastAsia="Garamond" w:hAnsi="Garamond"/>
          <w:sz w:val="24"/>
          <w:szCs w:val="24"/>
        </w:rPr>
        <w:t xml:space="preserve">Maintenir le poste actuel à l'Institut, en le documentant comme expérience professionnelle valorisable, tout en l'utilisant comme point d'ancrage informationnel et relationnel ;</w:t>
      </w:r>
    </w:p>
    <w:p>
      <w:pPr>
        <w:pStyle w:val="ListParagraph"/>
        <w:numPr>
          <w:ilvl w:val="0"/>
          <w:numId w:val="2"/>
        </w:numPr>
        <w:spacing w:after="100" w:line="300"/>
        <w:jc w:val="both"/>
      </w:pPr>
      <w:r>
        <w:rPr>
          <w:rFonts w:ascii="Garamond" w:cs="Garamond" w:eastAsia="Garamond" w:hAnsi="Garamond"/>
          <w:sz w:val="24"/>
          <w:szCs w:val="24"/>
        </w:rPr>
        <w:t xml:space="preserve">Solliciter le contact au sein de l'UNHCR pour obtenir une information précise sur les cycles de recrutement, sans en faire une voie d'accès exclusive ;</w:t>
      </w:r>
    </w:p>
    <w:p>
      <w:pPr>
        <w:pStyle w:val="ListParagraph"/>
        <w:numPr>
          <w:ilvl w:val="0"/>
          <w:numId w:val="2"/>
        </w:numPr>
        <w:spacing w:after="100" w:line="300"/>
        <w:jc w:val="both"/>
      </w:pPr>
      <w:r>
        <w:rPr>
          <w:rFonts w:ascii="Garamond" w:cs="Garamond" w:eastAsia="Garamond" w:hAnsi="Garamond"/>
          <w:sz w:val="24"/>
          <w:szCs w:val="24"/>
        </w:rPr>
        <w:t xml:space="preserve">Mettre en place une veille régulière sur les offres de la CEMAC, de l'Union africaine, de l'ICESCO et des agences onusiennes, avec des candidatures adaptées à chaque structure ;</w:t>
      </w:r>
    </w:p>
    <w:p>
      <w:pPr>
        <w:pStyle w:val="ListParagraph"/>
        <w:numPr>
          <w:ilvl w:val="0"/>
          <w:numId w:val="2"/>
        </w:numPr>
        <w:spacing w:after="100" w:line="300"/>
        <w:jc w:val="both"/>
      </w:pPr>
      <w:r>
        <w:rPr>
          <w:rFonts w:ascii="Garamond" w:cs="Garamond" w:eastAsia="Garamond" w:hAnsi="Garamond"/>
          <w:sz w:val="24"/>
          <w:szCs w:val="24"/>
        </w:rPr>
        <w:t xml:space="preserve">Surveiller et candidater aux appels à candidature des ministères et micro-ONG dès leur publication, comme premier palier d'expérience professionnelle ;</w:t>
      </w:r>
    </w:p>
    <w:p>
      <w:pPr>
        <w:pStyle w:val="ListParagraph"/>
        <w:numPr>
          <w:ilvl w:val="0"/>
          <w:numId w:val="2"/>
        </w:numPr>
        <w:spacing w:after="100" w:line="300"/>
        <w:jc w:val="both"/>
      </w:pPr>
      <w:r>
        <w:rPr>
          <w:rFonts w:ascii="Garamond" w:cs="Garamond" w:eastAsia="Garamond" w:hAnsi="Garamond"/>
          <w:sz w:val="24"/>
          <w:szCs w:val="24"/>
        </w:rPr>
        <w:t xml:space="preserve">Proposer des missions de consultation à des cabinets d'expertise sur l'analyse de situations et la rédaction de documents techniques ;</w:t>
      </w:r>
    </w:p>
    <w:p>
      <w:pPr>
        <w:pStyle w:val="ListParagraph"/>
        <w:numPr>
          <w:ilvl w:val="0"/>
          <w:numId w:val="2"/>
        </w:numPr>
        <w:spacing w:after="100" w:line="300"/>
        <w:jc w:val="both"/>
      </w:pPr>
      <w:r>
        <w:rPr>
          <w:rFonts w:ascii="Garamond" w:cs="Garamond" w:eastAsia="Garamond" w:hAnsi="Garamond"/>
          <w:sz w:val="24"/>
          <w:szCs w:val="24"/>
        </w:rPr>
        <w:t xml:space="preserve">Valoriser les résultats du mémoire par une publication ou une communication scientifique, afin de renforcer la visibilité de l'expertise construite sur la zone de Kyé-Ossi ;</w:t>
      </w:r>
    </w:p>
    <w:p>
      <w:pPr>
        <w:pStyle w:val="ListParagraph"/>
        <w:numPr>
          <w:ilvl w:val="0"/>
          <w:numId w:val="2"/>
        </w:numPr>
        <w:spacing w:after="100" w:line="300"/>
        <w:jc w:val="both"/>
      </w:pPr>
      <w:r>
        <w:rPr>
          <w:rFonts w:ascii="Garamond" w:cs="Garamond" w:eastAsia="Garamond" w:hAnsi="Garamond"/>
          <w:sz w:val="24"/>
          <w:szCs w:val="24"/>
        </w:rPr>
        <w:t xml:space="preserve">Consolider les compétences linguistiques nécessaires à l'exercice de fonctions au sein d'organisations internationales, notamment par la pratique professionnelle de l'anglais dans un contexte multilatéral.</w:t>
      </w:r>
    </w:p>
    <w:p>
      <w:r>
        <w:br w:type="page"/>
      </w:r>
    </w:p>
    <w:p>
      <w:pPr>
        <w:pStyle w:val="Heading1"/>
        <w:spacing w:after="200" w:before="400"/>
      </w:pPr>
      <w:r>
        <w:rPr>
          <w:b/>
          <w:bCs/>
        </w:rPr>
        <w:t xml:space="preserve">CONCLUSION GÉNÉRALE</w:t>
      </w:r>
    </w:p>
    <w:p>
      <w:pPr>
        <w:spacing w:after="160" w:line="360"/>
        <w:ind w:firstLine="0"/>
        <w:jc w:val="both"/>
      </w:pPr>
      <w:r>
        <w:rPr>
          <w:rFonts w:ascii="Garamond" w:cs="Garamond" w:eastAsia="Garamond" w:hAnsi="Garamond"/>
          <w:b w:val="false"/>
          <w:bCs w:val="false"/>
          <w:i w:val="false"/>
          <w:iCs w:val="false"/>
          <w:sz w:val="24"/>
          <w:szCs w:val="24"/>
        </w:rPr>
        <w:t xml:space="preserve">Arrivée au terme de cet exercice de grand oral, il apparaît que la recherche conduite sur Kyé-Ossi a permis d'établir un résultat central : la diversité culturelle, loin d'être un simple facteur de risque dans les zones frontalières d'Afrique centrale, peut constituer une ressource effective pour la consolidation de la paix et de la cohésion sociale, à condition d'être appréhendée dans sa dimension processuelle et quotidienne. Les Bayam-Sellam, en particulier, incarnent cette fonction de médiation interculturelle informelle qui mériterait une reconnaissance accrue dans les politiques de gouvernance frontalière, tandis que les limites identifiées — couverture géographique circonscrite, temporalité d'enquête restreinte, dépendance aux données déclaratives — ouvrent des perspectives de recherche cohérentes, notamment autour des effets du numérique sur la diversité culturelle et la cohésion sociale.</w:t>
      </w:r>
    </w:p>
    <w:p>
      <w:pPr>
        <w:spacing w:after="160" w:line="360"/>
        <w:ind w:firstLine="360"/>
        <w:jc w:val="both"/>
      </w:pPr>
      <w:r>
        <w:rPr>
          <w:rFonts w:ascii="Garamond" w:cs="Garamond" w:eastAsia="Garamond" w:hAnsi="Garamond"/>
          <w:b w:val="false"/>
          <w:bCs w:val="false"/>
          <w:i w:val="false"/>
          <w:iCs w:val="false"/>
          <w:sz w:val="24"/>
          <w:szCs w:val="24"/>
        </w:rPr>
        <w:t xml:space="preserve">Ce travail de recherche, par son ancrage empirique et son inscription dans un cadre théorique rigoureux articulant Wendt et Elias, constitue également le socle d'un projet professionnel structuré et réaliste. Face à un marché de l'emploi camerounais peu formalisé, ce projet ne repose pas sur une voie unique mais sur une stratégie de capitalisation à quatre canaux — réseau institutionnel, veille vers les organisations parapubliques et régionales, appels à candidature des ministères et micro-ONG, et missions de consultation en cabinets d'expertise — mobilisés simultanément au service d'un même objectif : intégrer, à terme, une organisation internationale ou régionale engagée dans la paix et la cohésion sociale en Afrique centrale.</w:t>
      </w:r>
    </w:p>
    <w:p>
      <w:pPr>
        <w:spacing w:after="160" w:line="360"/>
        <w:ind w:firstLine="360"/>
        <w:jc w:val="both"/>
      </w:pPr>
      <w:r>
        <w:rPr>
          <w:rFonts w:ascii="Garamond" w:cs="Garamond" w:eastAsia="Garamond" w:hAnsi="Garamond"/>
          <w:b w:val="false"/>
          <w:bCs w:val="false"/>
          <w:i w:val="false"/>
          <w:iCs w:val="false"/>
          <w:sz w:val="24"/>
          <w:szCs w:val="24"/>
        </w:rPr>
        <w:t xml:space="preserve">Le grand oral est ainsi l'occasion de démontrer que la démarche scientifique conduite au cours de ce Master 2 Recherche ne s'achève pas avec la soutenance du mémoire, mais se prolonge dans une trajectoire professionnelle cohérente et maîtrisée, au service de la paix et de la coopération culturelle dans la sous-région.</w:t>
      </w:r>
    </w:p>
    <w:sectPr>
      <w:headerReference w:type="default" r:id="rId9"/>
      <w:footerReference w:type="default" r:id="rId10"/>
      <w:pgSz w:w="11906" w:h="16838" w:orient="portrait"/>
      <w:pgMar w:top="1440" w:right="1440" w:bottom="1440" w:left="1440" w:header="708" w:footer="708" w:gutter="0"/>
      <w:pgNumType w:start="1" w:fmt="decimal"/>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sz w:val="20"/>
        <w:szCs w:val="20"/>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aramond" w:cs="Garamond" w:eastAsia="Garamond" w:hAnsi="Garamond"/>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aramond" w:cs="Garamond" w:eastAsia="Garamond" w:hAnsi="Garamond"/>
        <w:i/>
        <w:iCs/>
        <w:sz w:val="18"/>
        <w:szCs w:val="18"/>
      </w:rPr>
      <w:t xml:space="preserve">Rapport de Grand Oral – Master 2 Recherche IRIC</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aramond" w:cs="Garamond" w:eastAsia="Garamond" w:hAnsi="Garamond"/>
        <w:i/>
        <w:iCs/>
        <w:sz w:val="18"/>
        <w:szCs w:val="18"/>
      </w:rPr>
      <w:t xml:space="preserve">Rapport de Grand Oral – Master 2 Recherche IRIC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cs="Garamond" w:eastAsia="Garamond" w:hAnsi="Garamond"/>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200" w:before="400"/>
    </w:pPr>
    <w:rPr>
      <w:rFonts w:ascii="Garamond" w:cs="Garamond" w:eastAsia="Garamond" w:hAnsi="Garamond"/>
      <w:b/>
      <w:bCs/>
      <w:color w:val="1F3864"/>
      <w:sz w:val="30"/>
      <w:szCs w:val="30"/>
    </w:rPr>
  </w:style>
  <w:style w:type="paragraph" w:styleId="Heading2">
    <w:name w:val="Heading 2"/>
    <w:basedOn w:val="Normal"/>
    <w:next w:val="Normal"/>
    <w:pPr>
      <w:spacing w:after="150" w:before="300"/>
    </w:pPr>
    <w:rPr>
      <w:rFonts w:ascii="Garamond" w:cs="Garamond" w:eastAsia="Garamond" w:hAnsi="Garamond"/>
      <w:b/>
      <w:bCs/>
      <w:color w:val="2E5395"/>
      <w:sz w:val="26"/>
      <w:szCs w:val="26"/>
    </w:rPr>
  </w:style>
  <w:style w:type="paragraph" w:styleId="Heading3">
    <w:name w:val="Heading 3"/>
    <w:basedOn w:val="Normal"/>
    <w:next w:val="Normal"/>
    <w:pPr>
      <w:spacing w:after="100" w:before="200"/>
    </w:pPr>
    <w:rPr>
      <w:rFonts w:ascii="Garamond" w:cs="Garamond" w:eastAsia="Garamond" w:hAnsi="Garamond"/>
      <w:b/>
      <w:bCs/>
      <w:i/>
      <w:iCs/>
      <w:color w:val="2E5395"/>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2026-07-30T12:11:06.314Z</dcterms:created>
  <dcterms:modified xsi:type="dcterms:W3CDTF">2026-07-30T12:11:06.347Z</dcterms:modified>
</cp:coreProperties>
</file>

<file path=docProps/custom.xml><?xml version="1.0" encoding="utf-8"?>
<Properties xmlns="http://schemas.openxmlformats.org/officeDocument/2006/custom-properties" xmlns:vt="http://schemas.openxmlformats.org/officeDocument/2006/docPropsVTypes"/>
</file>